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256DBA" w:rsidP="004554EC">
      <w:pPr>
        <w:tabs>
          <w:tab w:val="center" w:pos="4819"/>
        </w:tabs>
        <w:rPr>
          <w:sz w:val="16"/>
          <w:szCs w:val="16"/>
        </w:rPr>
      </w:pPr>
      <w:r w:rsidRPr="00256DBA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256DBA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B4C89">
                    <w:rPr>
                      <w:sz w:val="24"/>
                    </w:rPr>
                    <w:t>10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BF4369">
                    <w:rPr>
                      <w:sz w:val="24"/>
                    </w:rPr>
                    <w:t>января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BF4369">
                    <w:rPr>
                      <w:sz w:val="24"/>
                    </w:rPr>
                    <w:t>4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BF4369">
                    <w:rPr>
                      <w:sz w:val="24"/>
                    </w:rPr>
                    <w:t xml:space="preserve"> </w:t>
                  </w:r>
                  <w:r w:rsidR="008B4C89">
                    <w:rPr>
                      <w:sz w:val="24"/>
                    </w:rPr>
                    <w:t>2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с.</w:t>
                  </w:r>
                  <w:r w:rsidR="009E67D8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Булзи</w:t>
                  </w:r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Каслинского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</w:t>
      </w:r>
      <w:r w:rsidR="00774186" w:rsidRPr="005238C9">
        <w:rPr>
          <w:color w:val="000000"/>
          <w:sz w:val="24"/>
          <w:szCs w:val="24"/>
        </w:rPr>
        <w:t>4</w:t>
      </w:r>
      <w:r w:rsidR="00704934">
        <w:rPr>
          <w:color w:val="000000"/>
          <w:sz w:val="24"/>
          <w:szCs w:val="24"/>
        </w:rPr>
        <w:t>-202</w:t>
      </w:r>
      <w:r w:rsidR="00774186" w:rsidRPr="005238C9">
        <w:rPr>
          <w:color w:val="000000"/>
          <w:sz w:val="24"/>
          <w:szCs w:val="24"/>
        </w:rPr>
        <w:t>6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r w:rsidR="00F33D58">
        <w:rPr>
          <w:sz w:val="24"/>
          <w:szCs w:val="24"/>
        </w:rPr>
        <w:t>Булзинского</w:t>
      </w:r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 Каслинского муниципального района на </w:t>
      </w:r>
      <w:r w:rsidR="00774186">
        <w:rPr>
          <w:sz w:val="24"/>
          <w:szCs w:val="24"/>
        </w:rPr>
        <w:t>202</w:t>
      </w:r>
      <w:r w:rsidR="00774186" w:rsidRPr="00774186">
        <w:rPr>
          <w:sz w:val="24"/>
          <w:szCs w:val="24"/>
        </w:rPr>
        <w:t>4</w:t>
      </w:r>
      <w:r w:rsidR="00774186">
        <w:rPr>
          <w:sz w:val="24"/>
          <w:szCs w:val="24"/>
        </w:rPr>
        <w:t>-202</w:t>
      </w:r>
      <w:r w:rsidR="00774186" w:rsidRPr="00774186">
        <w:rPr>
          <w:sz w:val="24"/>
          <w:szCs w:val="24"/>
        </w:rPr>
        <w:t>6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74186" w:rsidRPr="00774186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774186" w:rsidP="0033592D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 w:rsidR="00F33D58"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</w:t>
      </w:r>
      <w:r w:rsidR="00EC67A5">
        <w:rPr>
          <w:sz w:val="24"/>
          <w:szCs w:val="24"/>
        </w:rPr>
        <w:t>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5434EF" w:rsidP="00D6598E">
      <w:pPr>
        <w:autoSpaceDE w:val="0"/>
        <w:autoSpaceDN w:val="0"/>
        <w:adjustRightInd w:val="0"/>
        <w:jc w:val="right"/>
      </w:pPr>
      <w:r>
        <w:t>о</w:t>
      </w:r>
      <w:r w:rsidR="00D6598E">
        <w:t>т</w:t>
      </w:r>
      <w:r>
        <w:t>1</w:t>
      </w:r>
      <w:r w:rsidR="00BF4369">
        <w:t>0 января</w:t>
      </w:r>
      <w:r w:rsidR="00D70079">
        <w:t xml:space="preserve"> 20</w:t>
      </w:r>
      <w:r w:rsidR="00704934">
        <w:t>2</w:t>
      </w:r>
      <w:r w:rsidR="00BF4369">
        <w:t>4</w:t>
      </w:r>
      <w:r w:rsidR="00D6598E">
        <w:t xml:space="preserve"> г.   № </w:t>
      </w:r>
      <w:r>
        <w:t>2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</w:t>
      </w:r>
      <w:r w:rsidR="00774186">
        <w:t>4</w:t>
      </w:r>
      <w:r w:rsidR="00704934">
        <w:t>-202</w:t>
      </w:r>
      <w:r w:rsidR="00774186">
        <w:t>6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F33D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Каслинского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F947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EC5D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r w:rsidR="00F33D58">
        <w:rPr>
          <w:sz w:val="24"/>
          <w:szCs w:val="24"/>
        </w:rPr>
        <w:t>Булзинского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850"/>
        <w:gridCol w:w="709"/>
        <w:gridCol w:w="709"/>
        <w:gridCol w:w="709"/>
      </w:tblGrid>
      <w:tr w:rsidR="00D6598E" w:rsidTr="00F947E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F947EC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F947E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F947E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E4A15" w:rsidTr="00F947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77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774186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774186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</w:t>
      </w:r>
      <w:r w:rsidR="00B2488A">
        <w:rPr>
          <w:sz w:val="24"/>
          <w:szCs w:val="24"/>
        </w:rPr>
        <w:t>4</w:t>
      </w:r>
      <w:r w:rsidR="00704934">
        <w:rPr>
          <w:sz w:val="24"/>
          <w:szCs w:val="24"/>
        </w:rPr>
        <w:t>-202</w:t>
      </w:r>
      <w:r w:rsidR="00B2488A">
        <w:rPr>
          <w:sz w:val="24"/>
          <w:szCs w:val="24"/>
        </w:rPr>
        <w:t>6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B2488A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D5E" w:rsidRDefault="00903D5E" w:rsidP="009356B2">
      <w:r>
        <w:separator/>
      </w:r>
    </w:p>
  </w:endnote>
  <w:endnote w:type="continuationSeparator" w:id="0">
    <w:p w:rsidR="00903D5E" w:rsidRDefault="00903D5E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D5E" w:rsidRDefault="00903D5E" w:rsidP="009356B2">
      <w:r>
        <w:separator/>
      </w:r>
    </w:p>
  </w:footnote>
  <w:footnote w:type="continuationSeparator" w:id="0">
    <w:p w:rsidR="00903D5E" w:rsidRDefault="00903D5E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0171"/>
    <w:rsid w:val="00004324"/>
    <w:rsid w:val="00006963"/>
    <w:rsid w:val="00036A4E"/>
    <w:rsid w:val="0008510A"/>
    <w:rsid w:val="000C38CE"/>
    <w:rsid w:val="000C5FF2"/>
    <w:rsid w:val="000C753D"/>
    <w:rsid w:val="000E3DB9"/>
    <w:rsid w:val="000E5B3E"/>
    <w:rsid w:val="000F06C5"/>
    <w:rsid w:val="00116CE3"/>
    <w:rsid w:val="0012261E"/>
    <w:rsid w:val="00130C1A"/>
    <w:rsid w:val="00143B99"/>
    <w:rsid w:val="00164533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42B51"/>
    <w:rsid w:val="0025389A"/>
    <w:rsid w:val="00255678"/>
    <w:rsid w:val="00256DBA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96625"/>
    <w:rsid w:val="003A532D"/>
    <w:rsid w:val="003B4534"/>
    <w:rsid w:val="003B7D02"/>
    <w:rsid w:val="003E788C"/>
    <w:rsid w:val="003F607D"/>
    <w:rsid w:val="004213D8"/>
    <w:rsid w:val="004214FC"/>
    <w:rsid w:val="00427573"/>
    <w:rsid w:val="00452200"/>
    <w:rsid w:val="004554EC"/>
    <w:rsid w:val="00456971"/>
    <w:rsid w:val="00467E9F"/>
    <w:rsid w:val="00485672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238C9"/>
    <w:rsid w:val="005434EF"/>
    <w:rsid w:val="00550031"/>
    <w:rsid w:val="00552E03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74186"/>
    <w:rsid w:val="007941E7"/>
    <w:rsid w:val="007A48B6"/>
    <w:rsid w:val="007B17E2"/>
    <w:rsid w:val="007B64FB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B4C89"/>
    <w:rsid w:val="008D1232"/>
    <w:rsid w:val="008D43FB"/>
    <w:rsid w:val="008E1F31"/>
    <w:rsid w:val="008E6B6E"/>
    <w:rsid w:val="008F2BE9"/>
    <w:rsid w:val="008F5382"/>
    <w:rsid w:val="008F7502"/>
    <w:rsid w:val="00903620"/>
    <w:rsid w:val="00903D5E"/>
    <w:rsid w:val="00914A62"/>
    <w:rsid w:val="00924819"/>
    <w:rsid w:val="00931F6F"/>
    <w:rsid w:val="009356B2"/>
    <w:rsid w:val="009407B4"/>
    <w:rsid w:val="00942CFC"/>
    <w:rsid w:val="00956CC3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E67D8"/>
    <w:rsid w:val="009F2934"/>
    <w:rsid w:val="009F4FD3"/>
    <w:rsid w:val="00A1430A"/>
    <w:rsid w:val="00A21E00"/>
    <w:rsid w:val="00A24A0D"/>
    <w:rsid w:val="00A571EA"/>
    <w:rsid w:val="00A72EE5"/>
    <w:rsid w:val="00A81BBC"/>
    <w:rsid w:val="00AB0E7A"/>
    <w:rsid w:val="00AC0632"/>
    <w:rsid w:val="00AC5D0E"/>
    <w:rsid w:val="00AE0FE8"/>
    <w:rsid w:val="00AE4541"/>
    <w:rsid w:val="00AF06C4"/>
    <w:rsid w:val="00B2488A"/>
    <w:rsid w:val="00B40645"/>
    <w:rsid w:val="00B4178A"/>
    <w:rsid w:val="00B43B36"/>
    <w:rsid w:val="00B525BA"/>
    <w:rsid w:val="00B57645"/>
    <w:rsid w:val="00B6636D"/>
    <w:rsid w:val="00B76F9B"/>
    <w:rsid w:val="00B77E66"/>
    <w:rsid w:val="00BA2500"/>
    <w:rsid w:val="00BA3C29"/>
    <w:rsid w:val="00BF436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51459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429C6"/>
    <w:rsid w:val="00E87E81"/>
    <w:rsid w:val="00EC5D6D"/>
    <w:rsid w:val="00EC67A5"/>
    <w:rsid w:val="00ED1F78"/>
    <w:rsid w:val="00EE55A0"/>
    <w:rsid w:val="00F22BE7"/>
    <w:rsid w:val="00F24D98"/>
    <w:rsid w:val="00F31D79"/>
    <w:rsid w:val="00F33D58"/>
    <w:rsid w:val="00F4484D"/>
    <w:rsid w:val="00F93FC2"/>
    <w:rsid w:val="00F947EC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14</cp:revision>
  <cp:lastPrinted>2024-07-25T09:53:00Z</cp:lastPrinted>
  <dcterms:created xsi:type="dcterms:W3CDTF">2022-11-12T07:32:00Z</dcterms:created>
  <dcterms:modified xsi:type="dcterms:W3CDTF">2024-07-26T06:58:00Z</dcterms:modified>
</cp:coreProperties>
</file>